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630D" w14:textId="77777777" w:rsidR="005E6056" w:rsidRPr="00D20829" w:rsidRDefault="005E6056">
      <w:r w:rsidRPr="00D20829">
        <w:rPr>
          <w:rFonts w:ascii="Arial" w:hAnsi="Arial"/>
          <w:sz w:val="20"/>
          <w:lang w:eastAsia="pl-PL"/>
        </w:rPr>
        <w:drawing>
          <wp:anchor distT="0" distB="0" distL="114300" distR="114300" simplePos="0" relativeHeight="251661312" behindDoc="0" locked="0" layoutInCell="1" allowOverlap="1" wp14:anchorId="62380B6D" wp14:editId="1B1B5181">
            <wp:simplePos x="0" y="0"/>
            <wp:positionH relativeFrom="column">
              <wp:posOffset>0</wp:posOffset>
            </wp:positionH>
            <wp:positionV relativeFrom="paragraph">
              <wp:posOffset>285750</wp:posOffset>
            </wp:positionV>
            <wp:extent cx="1309370" cy="845820"/>
            <wp:effectExtent l="0" t="0" r="5080" b="0"/>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9"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37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2F1CB" w14:textId="77777777" w:rsidR="005E6056" w:rsidRPr="00D20829" w:rsidRDefault="005E6056"/>
    <w:p w14:paraId="1D42CD31" w14:textId="77777777" w:rsidR="00DC5B2D" w:rsidRPr="00D20829" w:rsidRDefault="00DC5B2D">
      <w:pPr>
        <w:rPr>
          <w:rFonts w:ascii="Arial" w:eastAsia="Times New Roman" w:hAnsi="Arial" w:cs="Arial"/>
          <w:sz w:val="20"/>
          <w:szCs w:val="20"/>
          <w:lang w:eastAsia="pl-PL"/>
        </w:rPr>
      </w:pPr>
    </w:p>
    <w:p w14:paraId="26C69F7A" w14:textId="77777777" w:rsidR="005E6056" w:rsidRPr="00D20829" w:rsidRDefault="005E6056">
      <w:pPr>
        <w:rPr>
          <w:rFonts w:ascii="Arial" w:eastAsia="Times New Roman" w:hAnsi="Arial" w:cs="Arial"/>
          <w:sz w:val="20"/>
          <w:szCs w:val="20"/>
          <w:lang w:eastAsia="pl-PL"/>
        </w:rPr>
      </w:pPr>
    </w:p>
    <w:p w14:paraId="2CE0DA85" w14:textId="77777777" w:rsidR="005E6056" w:rsidRPr="00D20829" w:rsidRDefault="005E6056">
      <w:pPr>
        <w:rPr>
          <w:rFonts w:ascii="Arial" w:eastAsia="Times New Roman" w:hAnsi="Arial" w:cs="Arial"/>
          <w:sz w:val="20"/>
          <w:szCs w:val="20"/>
          <w:lang w:eastAsia="pl-PL"/>
        </w:rPr>
      </w:pPr>
    </w:p>
    <w:p w14:paraId="37200298" w14:textId="58125F43" w:rsidR="0094052B" w:rsidRPr="00D20829" w:rsidRDefault="007536C8" w:rsidP="0094052B">
      <w:pPr>
        <w:spacing w:after="0" w:line="360" w:lineRule="auto"/>
        <w:rPr>
          <w:rFonts w:ascii="Arial" w:eastAsia="Times New Roman" w:hAnsi="Arial" w:cs="Arial"/>
          <w:b/>
          <w:sz w:val="20"/>
          <w:szCs w:val="20"/>
        </w:rPr>
      </w:pPr>
      <w:r w:rsidRPr="00D20829">
        <w:rPr>
          <w:rFonts w:ascii="Arial" w:hAnsi="Arial"/>
          <w:b/>
          <w:sz w:val="20"/>
        </w:rPr>
        <w:t>Share capital increase within the authorised capital</w:t>
      </w:r>
      <w:r w:rsidRPr="00D20829">
        <w:rPr>
          <w:rFonts w:ascii="Arial" w:hAnsi="Arial"/>
          <w:b/>
          <w:sz w:val="20"/>
        </w:rPr>
        <w:br/>
        <w:t>Current report no: 26/2022</w:t>
      </w:r>
    </w:p>
    <w:p w14:paraId="6210409B" w14:textId="21B9DF4C" w:rsidR="0094052B" w:rsidRPr="00D20829" w:rsidRDefault="0094052B" w:rsidP="0094052B">
      <w:pPr>
        <w:spacing w:after="0" w:line="360" w:lineRule="auto"/>
        <w:rPr>
          <w:rFonts w:ascii="Arial" w:eastAsia="Times New Roman" w:hAnsi="Arial" w:cs="Arial"/>
          <w:b/>
          <w:sz w:val="20"/>
          <w:szCs w:val="20"/>
        </w:rPr>
      </w:pPr>
      <w:r w:rsidRPr="00D20829">
        <w:rPr>
          <w:rFonts w:ascii="Arial" w:hAnsi="Arial"/>
          <w:b/>
          <w:sz w:val="20"/>
        </w:rPr>
        <w:t>Date: 01.07.2022</w:t>
      </w:r>
    </w:p>
    <w:p w14:paraId="248B6DC6" w14:textId="5888FD6C" w:rsidR="003E2683" w:rsidRPr="00D20829" w:rsidRDefault="005F420D" w:rsidP="003E2683">
      <w:pPr>
        <w:spacing w:after="0" w:line="360" w:lineRule="auto"/>
        <w:rPr>
          <w:rFonts w:ascii="Arial" w:eastAsia="Times New Roman" w:hAnsi="Arial" w:cs="Arial"/>
          <w:b/>
          <w:sz w:val="20"/>
          <w:szCs w:val="20"/>
        </w:rPr>
      </w:pPr>
      <w:r w:rsidRPr="00D20829">
        <w:rPr>
          <w:rFonts w:ascii="Arial" w:hAnsi="Arial"/>
          <w:b/>
          <w:sz w:val="20"/>
        </w:rPr>
        <w:t>Time: 3:17 p.m.</w:t>
      </w:r>
    </w:p>
    <w:p w14:paraId="2668F723" w14:textId="77777777" w:rsidR="00C50811" w:rsidRPr="00D20829" w:rsidRDefault="00C50811" w:rsidP="00C50811">
      <w:pPr>
        <w:pStyle w:val="NormalnyWeb"/>
        <w:shd w:val="clear" w:color="auto" w:fill="FEFEFE"/>
        <w:spacing w:before="0" w:beforeAutospacing="0" w:after="0" w:afterAutospacing="0" w:line="360" w:lineRule="auto"/>
        <w:jc w:val="both"/>
        <w:rPr>
          <w:rFonts w:ascii="Arial" w:hAnsi="Arial" w:cs="Arial"/>
          <w:color w:val="0A0A0A"/>
          <w:sz w:val="20"/>
          <w:szCs w:val="20"/>
        </w:rPr>
      </w:pPr>
    </w:p>
    <w:p w14:paraId="0E74727F" w14:textId="77777777" w:rsidR="00C50811" w:rsidRPr="00D20829" w:rsidRDefault="00C50811" w:rsidP="00C50811">
      <w:pPr>
        <w:pStyle w:val="NormalnyWeb"/>
        <w:shd w:val="clear" w:color="auto" w:fill="FEFEFE"/>
        <w:spacing w:before="0" w:beforeAutospacing="0" w:after="0" w:afterAutospacing="0" w:line="360" w:lineRule="auto"/>
        <w:jc w:val="both"/>
        <w:rPr>
          <w:rFonts w:ascii="Arial" w:hAnsi="Arial" w:cs="Arial"/>
          <w:color w:val="0A0A0A"/>
          <w:sz w:val="20"/>
          <w:szCs w:val="20"/>
        </w:rPr>
      </w:pPr>
    </w:p>
    <w:p w14:paraId="560D8ADB" w14:textId="0D2C6A65" w:rsidR="007536C8" w:rsidRPr="00D20829" w:rsidRDefault="007536C8" w:rsidP="005D4961">
      <w:pPr>
        <w:pStyle w:val="Nagwek1"/>
        <w:spacing w:before="0" w:beforeAutospacing="0" w:after="0" w:afterAutospacing="0" w:line="360" w:lineRule="auto"/>
        <w:jc w:val="both"/>
        <w:rPr>
          <w:rFonts w:ascii="Arial" w:hAnsi="Arial" w:cs="Arial"/>
          <w:b w:val="0"/>
          <w:bCs w:val="0"/>
          <w:sz w:val="20"/>
          <w:szCs w:val="20"/>
        </w:rPr>
      </w:pPr>
      <w:r w:rsidRPr="00D20829">
        <w:rPr>
          <w:rFonts w:ascii="Arial" w:hAnsi="Arial"/>
          <w:b w:val="0"/>
          <w:color w:val="0A0A0A"/>
          <w:sz w:val="20"/>
        </w:rPr>
        <w:t>The Management Board of LPP SA (the 'Company') announces that by the decision of 23.06.2022. District Court Gdańsk-Północ in Gdańsk, 7th Commercial Division of the National Court Register (ref. no GD.VII NS-Rej. KRS/010447/22/510), by virtue of resolutions of the Company's Management Board of 12.05.2022, amended the entry in the National Court Register concerning the share capital increase of</w:t>
      </w:r>
      <w:r w:rsidR="00D20829" w:rsidRPr="00D20829">
        <w:rPr>
          <w:rFonts w:ascii="Arial" w:hAnsi="Arial"/>
          <w:b w:val="0"/>
          <w:color w:val="0A0A0A"/>
          <w:sz w:val="20"/>
        </w:rPr>
        <w:t xml:space="preserve"> </w:t>
      </w:r>
      <w:r w:rsidRPr="00D20829">
        <w:rPr>
          <w:rFonts w:ascii="Arial" w:hAnsi="Arial"/>
          <w:b w:val="0"/>
          <w:color w:val="0A0A0A"/>
          <w:sz w:val="20"/>
        </w:rPr>
        <w:t>LPP SA from PLN 3,704,846 by PLN 3,636, to PLN 3,708,482</w:t>
      </w:r>
      <w:r w:rsidR="00D20829" w:rsidRPr="00D20829">
        <w:rPr>
          <w:rFonts w:ascii="Arial" w:hAnsi="Arial"/>
          <w:b w:val="0"/>
          <w:color w:val="0A0A0A"/>
          <w:sz w:val="20"/>
        </w:rPr>
        <w:t xml:space="preserve"> </w:t>
      </w:r>
      <w:r w:rsidRPr="00D20829">
        <w:rPr>
          <w:rFonts w:ascii="Arial" w:hAnsi="Arial"/>
          <w:b w:val="0"/>
          <w:sz w:val="20"/>
        </w:rPr>
        <w:t xml:space="preserve">and the relevant amendment to the Articles of Association of LPP SA (Article 5.1 and 2). The share capital was increased </w:t>
      </w:r>
      <w:r w:rsidRPr="00D20829">
        <w:rPr>
          <w:rFonts w:ascii="Arial" w:hAnsi="Arial"/>
          <w:b w:val="0"/>
          <w:color w:val="0A0A0A"/>
          <w:sz w:val="20"/>
        </w:rPr>
        <w:t>through the issue of 1,818 ordinary series M bearer shares with</w:t>
      </w:r>
      <w:r w:rsidR="00D20829" w:rsidRPr="00D20829">
        <w:rPr>
          <w:rFonts w:ascii="Arial" w:hAnsi="Arial"/>
          <w:b w:val="0"/>
          <w:color w:val="0A0A0A"/>
          <w:sz w:val="20"/>
        </w:rPr>
        <w:t xml:space="preserve"> a nominal value of PLN 2 each.</w:t>
      </w:r>
    </w:p>
    <w:p w14:paraId="2591783A" w14:textId="16E905F3" w:rsidR="007536C8" w:rsidRPr="00D20829" w:rsidRDefault="00C50811" w:rsidP="00C50811">
      <w:pPr>
        <w:pStyle w:val="NormalnyWeb"/>
        <w:shd w:val="clear" w:color="auto" w:fill="FEFEFE"/>
        <w:spacing w:before="0" w:beforeAutospacing="0" w:after="0" w:afterAutospacing="0" w:line="360" w:lineRule="auto"/>
        <w:jc w:val="both"/>
        <w:rPr>
          <w:rFonts w:ascii="Arial" w:hAnsi="Arial" w:cs="Arial"/>
          <w:color w:val="0A0A0A"/>
          <w:sz w:val="20"/>
          <w:szCs w:val="20"/>
        </w:rPr>
      </w:pPr>
      <w:r w:rsidRPr="00D20829">
        <w:rPr>
          <w:rFonts w:ascii="Arial" w:hAnsi="Arial"/>
          <w:color w:val="0A0A0A"/>
          <w:sz w:val="20"/>
        </w:rPr>
        <w:t>At the same time, the Company's Management Board recalls that the resolution on authorising the Management Board to increase the Company's share capital within the authorised capital and to amend the Articles of Association of LPP SA accordingly was adopted by the Annual General Meeting of the Company on 29</w:t>
      </w:r>
      <w:r w:rsidRPr="00D20829">
        <w:rPr>
          <w:rFonts w:ascii="Arial" w:hAnsi="Arial"/>
          <w:color w:val="000000"/>
          <w:sz w:val="20"/>
        </w:rPr>
        <w:t>.06.</w:t>
      </w:r>
      <w:r w:rsidRPr="00D20829">
        <w:rPr>
          <w:rFonts w:ascii="Arial" w:hAnsi="Arial"/>
          <w:color w:val="0A0A0A"/>
          <w:sz w:val="20"/>
        </w:rPr>
        <w:t>2021. (current report no 18/2021), and the relevant amendment was entered into the National Court Register by a decision of the District Court Gdańsk-Północ, 7th Commercial Division of the National Court Register dated 31.08.2021 (ref. no</w:t>
      </w:r>
      <w:r w:rsidR="00D20829" w:rsidRPr="00D20829">
        <w:rPr>
          <w:rFonts w:ascii="Arial" w:hAnsi="Arial"/>
          <w:color w:val="0A0A0A"/>
          <w:sz w:val="20"/>
        </w:rPr>
        <w:t xml:space="preserve"> VII NS-Rej. KRS/15420/21/413).</w:t>
      </w:r>
    </w:p>
    <w:p w14:paraId="078F03EC" w14:textId="1F44493E" w:rsidR="0094052B" w:rsidRPr="00D20829" w:rsidRDefault="00D858EB" w:rsidP="00EB5B04">
      <w:pPr>
        <w:spacing w:after="0" w:line="360" w:lineRule="auto"/>
        <w:jc w:val="both"/>
        <w:rPr>
          <w:rFonts w:ascii="Arial" w:eastAsia="Times New Roman" w:hAnsi="Arial" w:cs="Arial"/>
          <w:sz w:val="20"/>
          <w:szCs w:val="20"/>
        </w:rPr>
      </w:pPr>
      <w:r w:rsidRPr="00D20829">
        <w:rPr>
          <w:rFonts w:ascii="Arial" w:hAnsi="Arial"/>
          <w:color w:val="0A0A0A"/>
          <w:sz w:val="20"/>
        </w:rPr>
        <w:t>The content of the resolutions of the Management Board concerning the issue of shares under the authorised share capital increase and the amendment to the Articles of Association of LPP adopted by the Management Board on 12 May 2022 is provided in the appendix.</w:t>
      </w:r>
    </w:p>
    <w:p w14:paraId="14962644" w14:textId="33BC43C6" w:rsidR="00EC5FE8" w:rsidRPr="00D20829" w:rsidRDefault="00EC5FE8" w:rsidP="0094052B">
      <w:pPr>
        <w:spacing w:after="0" w:line="360" w:lineRule="auto"/>
        <w:rPr>
          <w:rFonts w:ascii="Arial" w:eastAsia="Times New Roman" w:hAnsi="Arial" w:cs="Arial"/>
          <w:sz w:val="20"/>
          <w:szCs w:val="20"/>
          <w:lang w:eastAsia="pl-PL"/>
        </w:rPr>
      </w:pPr>
    </w:p>
    <w:p w14:paraId="5880CB62" w14:textId="77777777" w:rsidR="00EB5B04" w:rsidRPr="00D20829" w:rsidRDefault="00EB5B04" w:rsidP="0094052B">
      <w:pPr>
        <w:spacing w:after="0" w:line="360" w:lineRule="auto"/>
        <w:rPr>
          <w:rFonts w:ascii="Arial" w:eastAsia="Times New Roman" w:hAnsi="Arial" w:cs="Arial"/>
          <w:sz w:val="20"/>
          <w:szCs w:val="20"/>
          <w:lang w:eastAsia="pl-PL"/>
        </w:rPr>
      </w:pPr>
    </w:p>
    <w:p w14:paraId="5F46B4A6" w14:textId="0956985F" w:rsidR="0094052B" w:rsidRPr="00D20829" w:rsidRDefault="0094052B" w:rsidP="0094052B">
      <w:pPr>
        <w:spacing w:after="0" w:line="360" w:lineRule="auto"/>
        <w:rPr>
          <w:rFonts w:ascii="Arial" w:eastAsia="Times New Roman" w:hAnsi="Arial" w:cs="Arial"/>
          <w:b/>
          <w:sz w:val="20"/>
          <w:szCs w:val="20"/>
        </w:rPr>
      </w:pPr>
      <w:r w:rsidRPr="00D20829">
        <w:rPr>
          <w:rFonts w:ascii="Arial" w:hAnsi="Arial"/>
          <w:sz w:val="20"/>
        </w:rPr>
        <w:t>Article 56(1)(2) of the Act on Offering – current</w:t>
      </w:r>
      <w:r w:rsidR="00D20829" w:rsidRPr="00D20829">
        <w:rPr>
          <w:rFonts w:ascii="Arial" w:hAnsi="Arial"/>
          <w:sz w:val="20"/>
        </w:rPr>
        <w:t xml:space="preserve"> and periodic information</w:t>
      </w:r>
    </w:p>
    <w:p w14:paraId="368D3C1E" w14:textId="77777777" w:rsidR="005E6056" w:rsidRPr="00D20829" w:rsidRDefault="005E6056" w:rsidP="005E6056">
      <w:pPr>
        <w:spacing w:after="100" w:afterAutospacing="1" w:line="240" w:lineRule="auto"/>
        <w:jc w:val="both"/>
        <w:rPr>
          <w:rFonts w:ascii="Arial" w:hAnsi="Arial" w:cs="Arial"/>
          <w:sz w:val="20"/>
          <w:szCs w:val="20"/>
        </w:rPr>
      </w:pPr>
      <w:r w:rsidRPr="00D20829">
        <w:rPr>
          <w:rFonts w:ascii="Arial" w:hAnsi="Arial"/>
          <w:sz w:val="20"/>
          <w:lang w:eastAsia="pl-PL"/>
        </w:rPr>
        <mc:AlternateContent>
          <mc:Choice Requires="wps">
            <w:drawing>
              <wp:anchor distT="0" distB="0" distL="114300" distR="114300" simplePos="0" relativeHeight="251663360" behindDoc="0" locked="0" layoutInCell="1" allowOverlap="1" wp14:anchorId="021293D7" wp14:editId="1DBE47A5">
                <wp:simplePos x="0" y="0"/>
                <wp:positionH relativeFrom="column">
                  <wp:posOffset>-80645</wp:posOffset>
                </wp:positionH>
                <wp:positionV relativeFrom="paragraph">
                  <wp:posOffset>139064</wp:posOffset>
                </wp:positionV>
                <wp:extent cx="5982970" cy="752475"/>
                <wp:effectExtent l="0" t="0" r="17780" b="28575"/>
                <wp:wrapNone/>
                <wp:docPr id="2" name="Prostokąt 2"/>
                <wp:cNvGraphicFramePr/>
                <a:graphic xmlns:a="http://schemas.openxmlformats.org/drawingml/2006/main">
                  <a:graphicData uri="http://schemas.microsoft.com/office/word/2010/wordprocessingShape">
                    <wps:wsp>
                      <wps:cNvSpPr/>
                      <wps:spPr>
                        <a:xfrm>
                          <a:off x="0" y="0"/>
                          <a:ext cx="5982970" cy="752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D7A04" id="Prostokąt 2" o:spid="_x0000_s1026" style="position:absolute;margin-left:-6.35pt;margin-top:10.95pt;width:471.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" filled="f" strokecolor="black [3213]" strokeweight=".25pt"/>
            </w:pict>
          </mc:Fallback>
        </mc:AlternateContent>
      </w:r>
    </w:p>
    <w:p w14:paraId="63480F62" w14:textId="1FE7185C" w:rsidR="005E6056" w:rsidRPr="00D20829" w:rsidRDefault="005E6056" w:rsidP="004A50F7">
      <w:pPr>
        <w:spacing w:after="0" w:line="360" w:lineRule="auto"/>
        <w:jc w:val="both"/>
        <w:rPr>
          <w:rFonts w:ascii="Arial" w:hAnsi="Arial" w:cs="Arial"/>
          <w:sz w:val="20"/>
          <w:szCs w:val="20"/>
        </w:rPr>
      </w:pPr>
      <w:r w:rsidRPr="00D20829">
        <w:rPr>
          <w:rFonts w:ascii="Arial" w:hAnsi="Arial"/>
          <w:sz w:val="20"/>
        </w:rPr>
        <w:t>Signatures:</w:t>
      </w:r>
      <w:r w:rsidR="00D20829" w:rsidRPr="00D20829">
        <w:rPr>
          <w:rFonts w:ascii="Arial" w:hAnsi="Arial"/>
          <w:sz w:val="20"/>
        </w:rPr>
        <w:tab/>
      </w:r>
      <w:r w:rsidRPr="00D20829">
        <w:rPr>
          <w:rFonts w:ascii="Arial" w:hAnsi="Arial"/>
          <w:sz w:val="20"/>
        </w:rPr>
        <w:t>Sławomir Łoboda – Vice President of the Management Board</w:t>
      </w:r>
    </w:p>
    <w:p w14:paraId="5E82FD30" w14:textId="7F9E3B7D" w:rsidR="005E6056" w:rsidRPr="00D20829" w:rsidRDefault="00F76344" w:rsidP="00D20829">
      <w:pPr>
        <w:tabs>
          <w:tab w:val="left" w:pos="1418"/>
        </w:tabs>
        <w:spacing w:after="0" w:line="360" w:lineRule="auto"/>
        <w:jc w:val="both"/>
        <w:rPr>
          <w:rFonts w:ascii="Arial" w:hAnsi="Arial" w:cs="Arial"/>
          <w:sz w:val="20"/>
          <w:szCs w:val="20"/>
        </w:rPr>
      </w:pPr>
      <w:r w:rsidRPr="00D20829">
        <w:rPr>
          <w:rFonts w:ascii="Arial" w:hAnsi="Arial"/>
          <w:sz w:val="20"/>
        </w:rPr>
        <w:tab/>
        <w:t>Jacek Kujawa – Vice President of the Management Board</w:t>
      </w:r>
      <w:bookmarkStart w:id="0" w:name="_GoBack"/>
      <w:bookmarkEnd w:id="0"/>
    </w:p>
    <w:sectPr w:rsidR="005E6056" w:rsidRPr="00D20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971"/>
    <w:multiLevelType w:val="hybridMultilevel"/>
    <w:tmpl w:val="4CF81D0C"/>
    <w:lvl w:ilvl="0" w:tplc="8CBEC9D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9D03A7"/>
    <w:multiLevelType w:val="hybridMultilevel"/>
    <w:tmpl w:val="6C4AE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713F8"/>
    <w:multiLevelType w:val="hybridMultilevel"/>
    <w:tmpl w:val="5FF84B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7FA6E4B"/>
    <w:multiLevelType w:val="hybridMultilevel"/>
    <w:tmpl w:val="5D0E5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346DE7"/>
    <w:multiLevelType w:val="hybridMultilevel"/>
    <w:tmpl w:val="BA087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DE6E25"/>
    <w:multiLevelType w:val="hybridMultilevel"/>
    <w:tmpl w:val="A2F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E00E5"/>
    <w:multiLevelType w:val="hybridMultilevel"/>
    <w:tmpl w:val="119E1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56"/>
    <w:rsid w:val="000137C0"/>
    <w:rsid w:val="000261D4"/>
    <w:rsid w:val="00031387"/>
    <w:rsid w:val="0007142D"/>
    <w:rsid w:val="00074E44"/>
    <w:rsid w:val="00091C20"/>
    <w:rsid w:val="000B6269"/>
    <w:rsid w:val="000C0F5F"/>
    <w:rsid w:val="000C74F0"/>
    <w:rsid w:val="000D3FE6"/>
    <w:rsid w:val="000D6A68"/>
    <w:rsid w:val="000E5A06"/>
    <w:rsid w:val="00104256"/>
    <w:rsid w:val="0011792A"/>
    <w:rsid w:val="00121E1A"/>
    <w:rsid w:val="001C1E07"/>
    <w:rsid w:val="001C43B4"/>
    <w:rsid w:val="001D29A8"/>
    <w:rsid w:val="001D7089"/>
    <w:rsid w:val="001E72AB"/>
    <w:rsid w:val="00201D41"/>
    <w:rsid w:val="00260FB4"/>
    <w:rsid w:val="002C3011"/>
    <w:rsid w:val="002D0652"/>
    <w:rsid w:val="00323582"/>
    <w:rsid w:val="00354D88"/>
    <w:rsid w:val="00360DB6"/>
    <w:rsid w:val="00370369"/>
    <w:rsid w:val="003A2229"/>
    <w:rsid w:val="003A7610"/>
    <w:rsid w:val="003C08F2"/>
    <w:rsid w:val="003D6089"/>
    <w:rsid w:val="003E2683"/>
    <w:rsid w:val="004419E7"/>
    <w:rsid w:val="004466A0"/>
    <w:rsid w:val="00485117"/>
    <w:rsid w:val="0049098A"/>
    <w:rsid w:val="004A4831"/>
    <w:rsid w:val="004A50F7"/>
    <w:rsid w:val="004C0EB1"/>
    <w:rsid w:val="004D1E47"/>
    <w:rsid w:val="004E1A68"/>
    <w:rsid w:val="004F0AAC"/>
    <w:rsid w:val="00501F79"/>
    <w:rsid w:val="005322B2"/>
    <w:rsid w:val="005367E7"/>
    <w:rsid w:val="00554DCC"/>
    <w:rsid w:val="00557A81"/>
    <w:rsid w:val="005C4058"/>
    <w:rsid w:val="005C458E"/>
    <w:rsid w:val="005D4961"/>
    <w:rsid w:val="005E6056"/>
    <w:rsid w:val="005F420D"/>
    <w:rsid w:val="00605DE7"/>
    <w:rsid w:val="00621CEF"/>
    <w:rsid w:val="00662378"/>
    <w:rsid w:val="00680515"/>
    <w:rsid w:val="006C0E3E"/>
    <w:rsid w:val="006F61B4"/>
    <w:rsid w:val="0071613C"/>
    <w:rsid w:val="00722076"/>
    <w:rsid w:val="007536C8"/>
    <w:rsid w:val="007733E0"/>
    <w:rsid w:val="00773E50"/>
    <w:rsid w:val="0079554A"/>
    <w:rsid w:val="007D7F5A"/>
    <w:rsid w:val="007E4F25"/>
    <w:rsid w:val="007F5137"/>
    <w:rsid w:val="008147FF"/>
    <w:rsid w:val="008258EC"/>
    <w:rsid w:val="008307DF"/>
    <w:rsid w:val="008519E6"/>
    <w:rsid w:val="00854116"/>
    <w:rsid w:val="00857AD7"/>
    <w:rsid w:val="00881A40"/>
    <w:rsid w:val="008A0A69"/>
    <w:rsid w:val="008A67D7"/>
    <w:rsid w:val="008B1622"/>
    <w:rsid w:val="008B3576"/>
    <w:rsid w:val="008B3BA1"/>
    <w:rsid w:val="008F358A"/>
    <w:rsid w:val="008F4C27"/>
    <w:rsid w:val="00915451"/>
    <w:rsid w:val="0094052B"/>
    <w:rsid w:val="009603BA"/>
    <w:rsid w:val="009644DA"/>
    <w:rsid w:val="0098028C"/>
    <w:rsid w:val="009929FE"/>
    <w:rsid w:val="009B2DC0"/>
    <w:rsid w:val="009D282A"/>
    <w:rsid w:val="009E227C"/>
    <w:rsid w:val="00A06B7B"/>
    <w:rsid w:val="00A231BB"/>
    <w:rsid w:val="00A279EA"/>
    <w:rsid w:val="00A30403"/>
    <w:rsid w:val="00A37C1C"/>
    <w:rsid w:val="00A46365"/>
    <w:rsid w:val="00A47399"/>
    <w:rsid w:val="00A957D1"/>
    <w:rsid w:val="00AB1E10"/>
    <w:rsid w:val="00AD326E"/>
    <w:rsid w:val="00AD6DAE"/>
    <w:rsid w:val="00B0249A"/>
    <w:rsid w:val="00B14E92"/>
    <w:rsid w:val="00B63D4A"/>
    <w:rsid w:val="00B90F6B"/>
    <w:rsid w:val="00BA2EB0"/>
    <w:rsid w:val="00BA6A85"/>
    <w:rsid w:val="00BD4E9C"/>
    <w:rsid w:val="00BE72F3"/>
    <w:rsid w:val="00C06032"/>
    <w:rsid w:val="00C37D18"/>
    <w:rsid w:val="00C41462"/>
    <w:rsid w:val="00C4643E"/>
    <w:rsid w:val="00C50811"/>
    <w:rsid w:val="00C53474"/>
    <w:rsid w:val="00C63A8F"/>
    <w:rsid w:val="00CE30D1"/>
    <w:rsid w:val="00CF215F"/>
    <w:rsid w:val="00CF4A1C"/>
    <w:rsid w:val="00CF6AB2"/>
    <w:rsid w:val="00D00916"/>
    <w:rsid w:val="00D20829"/>
    <w:rsid w:val="00D327D9"/>
    <w:rsid w:val="00D858EB"/>
    <w:rsid w:val="00DC5B2D"/>
    <w:rsid w:val="00DD7C8D"/>
    <w:rsid w:val="00DE480D"/>
    <w:rsid w:val="00DE4EB6"/>
    <w:rsid w:val="00E459A1"/>
    <w:rsid w:val="00E67328"/>
    <w:rsid w:val="00E77D66"/>
    <w:rsid w:val="00EA2B73"/>
    <w:rsid w:val="00EB52B2"/>
    <w:rsid w:val="00EB5B04"/>
    <w:rsid w:val="00EB5E96"/>
    <w:rsid w:val="00EC5FE8"/>
    <w:rsid w:val="00EC6353"/>
    <w:rsid w:val="00EF079F"/>
    <w:rsid w:val="00F212E4"/>
    <w:rsid w:val="00F372DC"/>
    <w:rsid w:val="00F76344"/>
    <w:rsid w:val="00F97FB3"/>
    <w:rsid w:val="00FD4F3A"/>
    <w:rsid w:val="00FF3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17D4"/>
  <w15:chartTrackingRefBased/>
  <w15:docId w15:val="{C1C1F336-9D18-48E0-B69A-6C416856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D4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462"/>
    <w:pPr>
      <w:ind w:left="720"/>
      <w:contextualSpacing/>
    </w:pPr>
  </w:style>
  <w:style w:type="paragraph" w:styleId="Tekstdymka">
    <w:name w:val="Balloon Text"/>
    <w:basedOn w:val="Normalny"/>
    <w:link w:val="TekstdymkaZnak"/>
    <w:uiPriority w:val="99"/>
    <w:semiHidden/>
    <w:unhideWhenUsed/>
    <w:rsid w:val="008147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7FF"/>
    <w:rPr>
      <w:rFonts w:ascii="Segoe UI" w:hAnsi="Segoe UI" w:cs="Segoe UI"/>
      <w:sz w:val="18"/>
      <w:szCs w:val="18"/>
    </w:rPr>
  </w:style>
  <w:style w:type="paragraph" w:styleId="NormalnyWeb">
    <w:name w:val="Normal (Web)"/>
    <w:basedOn w:val="Normalny"/>
    <w:uiPriority w:val="99"/>
    <w:semiHidden/>
    <w:unhideWhenUsed/>
    <w:rsid w:val="007536C8"/>
    <w:pPr>
      <w:spacing w:before="100" w:beforeAutospacing="1" w:after="100" w:afterAutospacing="1" w:line="240" w:lineRule="auto"/>
    </w:pPr>
    <w:rPr>
      <w:rFonts w:ascii="Calibri" w:hAnsi="Calibri" w:cs="Calibri"/>
    </w:rPr>
  </w:style>
  <w:style w:type="character" w:customStyle="1" w:styleId="Nagwek1Znak">
    <w:name w:val="Nagłówek 1 Znak"/>
    <w:basedOn w:val="Domylnaczcionkaakapitu"/>
    <w:link w:val="Nagwek1"/>
    <w:uiPriority w:val="9"/>
    <w:rsid w:val="005D4961"/>
    <w:rPr>
      <w:rFonts w:ascii="Times New Roman" w:eastAsia="Times New Roman" w:hAnsi="Times New Roman" w:cs="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77868">
      <w:bodyDiv w:val="1"/>
      <w:marLeft w:val="0"/>
      <w:marRight w:val="0"/>
      <w:marTop w:val="0"/>
      <w:marBottom w:val="0"/>
      <w:divBdr>
        <w:top w:val="none" w:sz="0" w:space="0" w:color="auto"/>
        <w:left w:val="none" w:sz="0" w:space="0" w:color="auto"/>
        <w:bottom w:val="none" w:sz="0" w:space="0" w:color="auto"/>
        <w:right w:val="none" w:sz="0" w:space="0" w:color="auto"/>
      </w:divBdr>
    </w:div>
    <w:div w:id="1322276098">
      <w:bodyDiv w:val="1"/>
      <w:marLeft w:val="0"/>
      <w:marRight w:val="0"/>
      <w:marTop w:val="0"/>
      <w:marBottom w:val="0"/>
      <w:divBdr>
        <w:top w:val="none" w:sz="0" w:space="0" w:color="auto"/>
        <w:left w:val="none" w:sz="0" w:space="0" w:color="auto"/>
        <w:bottom w:val="none" w:sz="0" w:space="0" w:color="auto"/>
        <w:right w:val="none" w:sz="0" w:space="0" w:color="auto"/>
      </w:divBdr>
    </w:div>
    <w:div w:id="1561549941">
      <w:bodyDiv w:val="1"/>
      <w:marLeft w:val="0"/>
      <w:marRight w:val="0"/>
      <w:marTop w:val="0"/>
      <w:marBottom w:val="0"/>
      <w:divBdr>
        <w:top w:val="none" w:sz="0" w:space="0" w:color="auto"/>
        <w:left w:val="none" w:sz="0" w:space="0" w:color="auto"/>
        <w:bottom w:val="none" w:sz="0" w:space="0" w:color="auto"/>
        <w:right w:val="none" w:sz="0" w:space="0" w:color="auto"/>
      </w:divBdr>
    </w:div>
    <w:div w:id="19564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262</Words>
  <Characters>1575</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Kopaczewska</dc:creator>
  <cp:keywords/>
  <dc:description/>
  <cp:lastModifiedBy>Barbara Wasiuta</cp:lastModifiedBy>
  <cp:revision>46</cp:revision>
  <cp:lastPrinted>2020-01-15T10:44:00Z</cp:lastPrinted>
  <dcterms:created xsi:type="dcterms:W3CDTF">2019-01-28T10:19:00Z</dcterms:created>
  <dcterms:modified xsi:type="dcterms:W3CDTF">2022-07-04T12:50:00Z</dcterms:modified>
</cp:coreProperties>
</file>